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08344C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</w:rPr>
        <w:t>证券信息技术研究发展中心（上海）</w:t>
      </w:r>
    </w:p>
    <w:p w14:paraId="5605B1DA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ascii="黑体" w:hAnsi="黑体" w:eastAsia="黑体"/>
          <w:b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  <w:lang w:val="en-US" w:eastAsia="zh-CN"/>
        </w:rPr>
        <w:t>5年度行业共研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</w:rPr>
        <w:t>课题选题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  <w:lang w:val="en-US" w:eastAsia="zh-Hans"/>
        </w:rPr>
        <w:t>建议</w:t>
      </w:r>
    </w:p>
    <w:p w14:paraId="6A009C08">
      <w:pPr>
        <w:spacing w:after="0" w:line="360" w:lineRule="auto"/>
        <w:ind w:firstLine="720"/>
        <w:rPr>
          <w:rFonts w:ascii="仿宋_GB2312" w:hAnsi="仿宋" w:eastAsia="仿宋_GB2312" w:cs="Arial"/>
          <w:sz w:val="30"/>
          <w:szCs w:val="30"/>
        </w:rPr>
      </w:pPr>
    </w:p>
    <w:p w14:paraId="0E0AE6A2">
      <w:pPr>
        <w:spacing w:after="0" w:line="360" w:lineRule="auto"/>
        <w:ind w:firstLine="720"/>
        <w:rPr>
          <w:rFonts w:hint="eastAsia" w:ascii="仿宋_GB2312" w:hAnsi="仿宋" w:eastAsia="仿宋_GB2312" w:cs="微软雅黑"/>
          <w:b/>
          <w:sz w:val="32"/>
          <w:szCs w:val="32"/>
        </w:rPr>
      </w:pPr>
      <w:r>
        <w:rPr>
          <w:rFonts w:hint="eastAsia" w:ascii="仿宋_GB2312" w:hAnsi="仿宋" w:eastAsia="仿宋_GB2312" w:cs="Arial"/>
          <w:sz w:val="32"/>
          <w:szCs w:val="32"/>
        </w:rPr>
        <w:t>课题申报单位可结合自身业务需求与行业市场特点，参考</w:t>
      </w:r>
      <w:r>
        <w:rPr>
          <w:rFonts w:hint="eastAsia" w:ascii="仿宋_GB2312" w:hAnsi="仿宋" w:eastAsia="仿宋_GB2312" w:cs="Arial"/>
          <w:sz w:val="32"/>
          <w:szCs w:val="32"/>
          <w:lang w:eastAsia="zh-CN"/>
        </w:rPr>
        <w:t>本建议所列</w:t>
      </w:r>
      <w:r>
        <w:rPr>
          <w:rFonts w:hint="eastAsia" w:ascii="仿宋_GB2312" w:hAnsi="仿宋" w:eastAsia="仿宋_GB2312" w:cs="Arial"/>
          <w:sz w:val="32"/>
          <w:szCs w:val="32"/>
        </w:rPr>
        <w:t>研究领域方向拟定具体题目，</w:t>
      </w:r>
      <w:r>
        <w:rPr>
          <w:rFonts w:hint="eastAsia" w:ascii="仿宋_GB2312" w:hAnsi="仿宋" w:eastAsia="仿宋_GB2312" w:cs="Arial"/>
          <w:b w:val="0"/>
          <w:bCs/>
          <w:sz w:val="32"/>
          <w:szCs w:val="32"/>
        </w:rPr>
        <w:t>也可在本</w:t>
      </w:r>
      <w:r>
        <w:rPr>
          <w:rFonts w:hint="eastAsia" w:ascii="仿宋_GB2312" w:hAnsi="仿宋" w:eastAsia="仿宋_GB2312" w:cs="Arial"/>
          <w:b w:val="0"/>
          <w:bCs/>
          <w:sz w:val="32"/>
          <w:szCs w:val="32"/>
          <w:lang w:val="en-US" w:eastAsia="zh-Hans"/>
        </w:rPr>
        <w:t>建议</w:t>
      </w:r>
      <w:r>
        <w:rPr>
          <w:rFonts w:hint="eastAsia" w:ascii="仿宋_GB2312" w:hAnsi="仿宋" w:eastAsia="仿宋_GB2312" w:cs="Arial"/>
          <w:b w:val="0"/>
          <w:bCs/>
          <w:sz w:val="32"/>
          <w:szCs w:val="32"/>
        </w:rPr>
        <w:t>所列研究领域之外自行选题</w:t>
      </w:r>
      <w:r>
        <w:rPr>
          <w:rFonts w:hint="eastAsia" w:ascii="仿宋_GB2312" w:hAnsi="仿宋" w:eastAsia="仿宋_GB2312" w:cs="微软雅黑"/>
          <w:b w:val="0"/>
          <w:bCs/>
          <w:sz w:val="32"/>
          <w:szCs w:val="32"/>
        </w:rPr>
        <w:t>。</w:t>
      </w:r>
    </w:p>
    <w:p w14:paraId="608E58E2">
      <w:pPr>
        <w:spacing w:after="0" w:line="360" w:lineRule="auto"/>
        <w:ind w:firstLine="720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一、前沿技术领域</w:t>
      </w:r>
    </w:p>
    <w:p w14:paraId="6815D839">
      <w:pPr>
        <w:spacing w:after="0" w:line="360" w:lineRule="auto"/>
        <w:ind w:firstLine="720"/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eastAsia="zh-CN"/>
        </w:rPr>
        <w:t>探索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AI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eastAsia="zh-CN"/>
        </w:rPr>
        <w:t>大模型以及其多模态、智能体、检索增强生成（RAG）等技术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在上市审核、公司服务、业务办理、架构管理、公司估值、监管报送、科技治理、设备管理、投研、投顾、运营、研发、测试、运维、监控等场景的应用。开展AI大模型的能力成熟度评估、提升组织效能、数据及应用安全等领域的探索与研究。应用区块链、隐私计算、联邦学习、影响力传播监测等技术以提升行业智能化水平</w:t>
      </w:r>
      <w:bookmarkStart w:id="0" w:name="_GoBack"/>
      <w:bookmarkEnd w:id="0"/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。</w:t>
      </w:r>
    </w:p>
    <w:p w14:paraId="2DEF6D69">
      <w:pPr>
        <w:spacing w:after="0" w:line="360" w:lineRule="auto"/>
        <w:ind w:firstLine="72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二、数字化实践领域</w:t>
      </w:r>
    </w:p>
    <w:p w14:paraId="18943BE4">
      <w:pPr>
        <w:spacing w:after="0" w:line="360" w:lineRule="auto"/>
        <w:ind w:firstLine="720"/>
        <w:rPr>
          <w:rFonts w:hint="default" w:ascii="仿宋_GB2312" w:hAnsi="仿宋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通过人工智能、云计算、大数据、低代码等技术，赋能投研投顾、合规经营、客户服务、监管审核、舆情分析、公司画像、异常检测、数字员工、知识库体系建设等应用场景，促进业务与技术的融合，强化关键技术的突破性研究，提升数字化水平。</w:t>
      </w:r>
    </w:p>
    <w:p w14:paraId="01BE9C60">
      <w:pPr>
        <w:spacing w:after="0" w:line="360" w:lineRule="auto"/>
        <w:ind w:firstLine="72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三、数据治理领域</w:t>
      </w:r>
    </w:p>
    <w:p w14:paraId="4ECEF88D">
      <w:pPr>
        <w:spacing w:after="0" w:line="360" w:lineRule="auto"/>
        <w:ind w:firstLine="720"/>
        <w:rPr>
          <w:rFonts w:hint="default" w:ascii="仿宋_GB2312" w:hAnsi="仿宋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通过数据标准构建、元数据管理、数据质量管控、数据安全管理、分类分级、数据中台、数据模型设计等方法与技术，加强数据全生命周期治理，提升数据管理的智能化水平，激活数据要素价值。</w:t>
      </w:r>
    </w:p>
    <w:p w14:paraId="05BC4499">
      <w:pPr>
        <w:spacing w:after="0" w:line="360" w:lineRule="auto"/>
        <w:ind w:firstLine="72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eastAsia="zh-CN"/>
        </w:rPr>
        <w:t>交易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系统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领域</w:t>
      </w:r>
    </w:p>
    <w:p w14:paraId="17FA3DDD">
      <w:pPr>
        <w:spacing w:after="0" w:line="360" w:lineRule="auto"/>
        <w:ind w:firstLine="720"/>
        <w:rPr>
          <w:rFonts w:hint="default" w:ascii="仿宋_GB2312" w:hAnsi="仿宋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通过内存管理、GPU、FPGA、总线设计、作业调度、低时延网卡、分布式架构、高性能云原生等相关技术，降低系统时延，提高数据处理能力。通过容灾与备份、应急处置、混沌工程、全链路时延监测、自动化测试等相关技术，实现系统高可靠，保障业务连续性。探索核心系统风险管理、上线变更等领域的研究。</w:t>
      </w:r>
    </w:p>
    <w:p w14:paraId="1DC40ED5">
      <w:pPr>
        <w:spacing w:after="0" w:line="360" w:lineRule="auto"/>
        <w:ind w:firstLine="72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五、基础设施领域</w:t>
      </w:r>
    </w:p>
    <w:p w14:paraId="3B682538">
      <w:pPr>
        <w:spacing w:after="0" w:line="360" w:lineRule="auto"/>
        <w:ind w:firstLine="720"/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围绕云平台、网络架构、服务器集群、数据中心等基础设施，探索AIOps、自动化运维、拓扑数据感知等技术应用，面向中小券商提升运维效能，加强底层资源的优化与管理，提升服务能力，强化数智化水平。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00500000000000000"/>
    <w:charset w:val="86"/>
    <w:family w:val="modern"/>
    <w:pitch w:val="default"/>
    <w:sig w:usb0="A00002BF" w:usb1="5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">
    <w:altName w:val="阿里巴巴普惠体 R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阿里巴巴普惠体 R">
    <w:panose1 w:val="00020600040101010101"/>
    <w:charset w:val="86"/>
    <w:family w:val="auto"/>
    <w:pitch w:val="default"/>
    <w:sig w:usb0="A00002FF" w:usb1="7ACF7CFB" w:usb2="0000001E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ans-serif">
    <w:altName w:val="阿里巴巴普惠体 R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思源宋体 Medium">
    <w:panose1 w:val="02020400000000000000"/>
    <w:charset w:val="86"/>
    <w:family w:val="auto"/>
    <w:pitch w:val="default"/>
    <w:sig w:usb0="30000083" w:usb1="2BDF3C10" w:usb2="00000016" w:usb3="00000000" w:csb0="602E0107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仿宋">
    <w:panose1 w:val="02000500000000000000"/>
    <w:charset w:val="86"/>
    <w:family w:val="auto"/>
    <w:pitch w:val="default"/>
    <w:sig w:usb0="A00002BF" w:usb1="38C77CFA" w:usb2="00000016" w:usb3="00000000" w:csb0="00060007" w:csb1="00000000"/>
  </w:font>
  <w:font w:name="国标宋体">
    <w:panose1 w:val="02000500000000000000"/>
    <w:charset w:val="86"/>
    <w:family w:val="auto"/>
    <w:pitch w:val="default"/>
    <w:sig w:usb0="00000001" w:usb1="28000000" w:usb2="00000000" w:usb3="00000000" w:csb0="00060007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